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DE1A" w14:textId="27CE93AF" w:rsidR="00E91C18" w:rsidRPr="00E91C18" w:rsidRDefault="00E91C18" w:rsidP="00E91C18">
      <w:pPr>
        <w:jc w:val="center"/>
        <w:rPr>
          <w:rFonts w:ascii="Calibri" w:eastAsia="Yu Mincho" w:hAnsi="Calibri" w:cs="Calibri"/>
          <w:b/>
          <w:bCs/>
          <w:color w:val="000000"/>
          <w:sz w:val="28"/>
          <w:szCs w:val="28"/>
        </w:rPr>
      </w:pPr>
      <w:r>
        <w:rPr>
          <w:rFonts w:ascii="Calibri" w:eastAsia="Yu Mincho" w:hAnsi="Calibri" w:cs="Calibri"/>
          <w:b/>
          <w:bCs/>
          <w:noProof/>
          <w:color w:val="000000"/>
          <w:sz w:val="28"/>
          <w:szCs w:val="28"/>
          <w14:ligatures w14:val="standardContextual"/>
        </w:rPr>
        <mc:AlternateContent>
          <mc:Choice Requires="wps">
            <w:drawing>
              <wp:anchor distT="0" distB="0" distL="114300" distR="114300" simplePos="0" relativeHeight="251660288" behindDoc="0" locked="0" layoutInCell="1" allowOverlap="1" wp14:anchorId="3B04606A" wp14:editId="07E5D10C">
                <wp:simplePos x="0" y="0"/>
                <wp:positionH relativeFrom="column">
                  <wp:posOffset>5248275</wp:posOffset>
                </wp:positionH>
                <wp:positionV relativeFrom="paragraph">
                  <wp:posOffset>-742950</wp:posOffset>
                </wp:positionV>
                <wp:extent cx="962025" cy="971550"/>
                <wp:effectExtent l="0" t="0" r="28575" b="19050"/>
                <wp:wrapNone/>
                <wp:docPr id="1380348351" name="Text Box 2"/>
                <wp:cNvGraphicFramePr/>
                <a:graphic xmlns:a="http://schemas.openxmlformats.org/drawingml/2006/main">
                  <a:graphicData uri="http://schemas.microsoft.com/office/word/2010/wordprocessingShape">
                    <wps:wsp>
                      <wps:cNvSpPr txBox="1"/>
                      <wps:spPr>
                        <a:xfrm>
                          <a:off x="0" y="0"/>
                          <a:ext cx="962025" cy="971550"/>
                        </a:xfrm>
                        <a:prstGeom prst="rect">
                          <a:avLst/>
                        </a:prstGeom>
                        <a:solidFill>
                          <a:schemeClr val="lt1"/>
                        </a:solidFill>
                        <a:ln w="6350">
                          <a:solidFill>
                            <a:schemeClr val="bg1"/>
                          </a:solidFill>
                        </a:ln>
                      </wps:spPr>
                      <wps:txbx>
                        <w:txbxContent>
                          <w:p w14:paraId="61D3B94F" w14:textId="507443BD" w:rsidR="00E91C18" w:rsidRDefault="00E91C18">
                            <w:r>
                              <w:rPr>
                                <w:noProof/>
                              </w:rPr>
                              <w:drawing>
                                <wp:inline distT="0" distB="0" distL="0" distR="0" wp14:anchorId="034AFE81" wp14:editId="4C0930C5">
                                  <wp:extent cx="772795" cy="852170"/>
                                  <wp:effectExtent l="0" t="0" r="8255" b="5080"/>
                                  <wp:docPr id="24719683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72795" cy="8521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4606A" id="_x0000_t202" coordsize="21600,21600" o:spt="202" path="m,l,21600r21600,l21600,xe">
                <v:stroke joinstyle="miter"/>
                <v:path gradientshapeok="t" o:connecttype="rect"/>
              </v:shapetype>
              <v:shape id="Text Box 2" o:spid="_x0000_s1026" type="#_x0000_t202" style="position:absolute;left:0;text-align:left;margin-left:413.25pt;margin-top:-58.5pt;width:75.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" fillcolor="white [3201]" strokecolor="white [3212]" strokeweight=".5pt">
                <v:textbox>
                  <w:txbxContent>
                    <w:p w14:paraId="61D3B94F" w14:textId="507443BD" w:rsidR="00E91C18" w:rsidRDefault="00E91C18">
                      <w:r>
                        <w:rPr>
                          <w:noProof/>
                        </w:rPr>
                        <w:drawing>
                          <wp:inline distT="0" distB="0" distL="0" distR="0" wp14:anchorId="034AFE81" wp14:editId="4C0930C5">
                            <wp:extent cx="772795" cy="852170"/>
                            <wp:effectExtent l="0" t="0" r="8255" b="5080"/>
                            <wp:docPr id="24719683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72795" cy="852170"/>
                                    </a:xfrm>
                                    <a:prstGeom prst="rect">
                                      <a:avLst/>
                                    </a:prstGeom>
                                    <a:noFill/>
                                    <a:ln>
                                      <a:noFill/>
                                    </a:ln>
                                  </pic:spPr>
                                </pic:pic>
                              </a:graphicData>
                            </a:graphic>
                          </wp:inline>
                        </w:drawing>
                      </w:r>
                    </w:p>
                  </w:txbxContent>
                </v:textbox>
              </v:shape>
            </w:pict>
          </mc:Fallback>
        </mc:AlternateContent>
      </w:r>
      <w:r w:rsidRPr="00E91C18">
        <w:rPr>
          <w:rFonts w:ascii="Calibri" w:eastAsia="Yu Mincho" w:hAnsi="Calibri" w:cs="Calibri"/>
          <w:b/>
          <w:bCs/>
          <w:color w:val="000000"/>
          <w:sz w:val="28"/>
          <w:szCs w:val="28"/>
        </w:rPr>
        <w:t>Personal Mobile Devices in Morgan Academy</w:t>
      </w:r>
    </w:p>
    <w:p w14:paraId="4F83376D" w14:textId="77777777" w:rsidR="00E91C18" w:rsidRPr="00E91C18" w:rsidRDefault="00E91C18" w:rsidP="00E91C18">
      <w:pPr>
        <w:rPr>
          <w:rFonts w:ascii="Calibri" w:eastAsia="Yu Mincho" w:hAnsi="Calibri" w:cs="Calibri"/>
          <w:b/>
          <w:bCs/>
          <w:color w:val="000000"/>
          <w:sz w:val="28"/>
          <w:szCs w:val="28"/>
        </w:rPr>
      </w:pPr>
    </w:p>
    <w:p w14:paraId="77F24256" w14:textId="77777777" w:rsidR="00E91C18" w:rsidRPr="00E91C18" w:rsidRDefault="00E91C18" w:rsidP="00E91C18">
      <w:pPr>
        <w:spacing w:line="276" w:lineRule="auto"/>
        <w:jc w:val="both"/>
        <w:rPr>
          <w:rFonts w:ascii="Calibri" w:hAnsi="Calibri" w:cs="Calibri"/>
          <w:color w:val="000000" w:themeColor="text1"/>
          <w:sz w:val="22"/>
          <w:szCs w:val="22"/>
        </w:rPr>
      </w:pPr>
      <w:r w:rsidRPr="00E91C18">
        <w:rPr>
          <w:rFonts w:ascii="Calibri" w:hAnsi="Calibri" w:cs="Calibri"/>
          <w:color w:val="000000" w:themeColor="text1"/>
          <w:sz w:val="22"/>
          <w:szCs w:val="22"/>
        </w:rPr>
        <w:t xml:space="preserve">The responsible use of personal digital devices in schools is essential to maintaining a safe, respectful, and focused learning environment. </w:t>
      </w:r>
      <w:r w:rsidRPr="00E91C18">
        <w:rPr>
          <w:rFonts w:ascii="Calibri" w:eastAsia="Arial" w:hAnsi="Calibri" w:cs="Calibri"/>
          <w:sz w:val="22"/>
          <w:szCs w:val="22"/>
        </w:rPr>
        <w:t xml:space="preserve">Informed by the </w:t>
      </w:r>
      <w:hyperlink r:id="rId7">
        <w:r w:rsidRPr="00E91C18">
          <w:rPr>
            <w:rStyle w:val="Hyperlink"/>
            <w:rFonts w:ascii="Calibri" w:eastAsia="Arial" w:hAnsi="Calibri" w:cs="Calibri"/>
            <w:color w:val="467886"/>
            <w:sz w:val="22"/>
            <w:szCs w:val="22"/>
          </w:rPr>
          <w:t>Scottish Government’s Guidance on Mobile Phones in Scotland’s School,</w:t>
        </w:r>
      </w:hyperlink>
      <w:r w:rsidRPr="00E91C18">
        <w:rPr>
          <w:rFonts w:ascii="Calibri" w:eastAsia="Arial" w:hAnsi="Calibri" w:cs="Calibri"/>
          <w:color w:val="000000" w:themeColor="text1"/>
          <w:sz w:val="22"/>
          <w:szCs w:val="22"/>
        </w:rPr>
        <w:t xml:space="preserve"> this policy and guidance sets out clear expectations for the use of mobile phones and other smart technologies including smartwatches, tablets and laptops (unless used for learning), as well as wearable and emerging digital technologies.</w:t>
      </w:r>
    </w:p>
    <w:p w14:paraId="23E7D31B" w14:textId="77777777" w:rsidR="00E91C18" w:rsidRPr="00E91C18" w:rsidRDefault="00E91C18" w:rsidP="00E91C18">
      <w:pPr>
        <w:spacing w:line="278" w:lineRule="auto"/>
        <w:jc w:val="both"/>
        <w:rPr>
          <w:rFonts w:ascii="Calibri" w:hAnsi="Calibri" w:cs="Calibri"/>
          <w:color w:val="000000" w:themeColor="text1"/>
          <w:sz w:val="22"/>
          <w:szCs w:val="22"/>
        </w:rPr>
      </w:pPr>
    </w:p>
    <w:p w14:paraId="0F9A8203" w14:textId="77777777" w:rsidR="00E91C18" w:rsidRPr="00E91C18" w:rsidRDefault="00E91C18" w:rsidP="00E91C18">
      <w:pPr>
        <w:spacing w:line="278" w:lineRule="auto"/>
        <w:jc w:val="both"/>
        <w:rPr>
          <w:rFonts w:ascii="Calibri" w:hAnsi="Calibri" w:cs="Calibri"/>
          <w:color w:val="000000" w:themeColor="text1"/>
          <w:sz w:val="22"/>
          <w:szCs w:val="22"/>
        </w:rPr>
      </w:pPr>
      <w:r w:rsidRPr="00E91C18">
        <w:rPr>
          <w:rFonts w:ascii="Calibri" w:eastAsia="Arial" w:hAnsi="Calibri" w:cs="Calibri"/>
          <w:color w:val="000000" w:themeColor="text1"/>
          <w:sz w:val="22"/>
          <w:szCs w:val="22"/>
        </w:rPr>
        <w:t xml:space="preserve">Whilst digital tools can enhance learning and teaching as well as communication, it is crucial their impact benefits learning and teaching in line with the </w:t>
      </w:r>
      <w:hyperlink r:id="rId8">
        <w:r w:rsidRPr="00E91C18">
          <w:rPr>
            <w:rStyle w:val="Hyperlink"/>
            <w:rFonts w:ascii="Calibri" w:eastAsia="Arial" w:hAnsi="Calibri" w:cs="Calibri"/>
            <w:color w:val="467886"/>
            <w:sz w:val="22"/>
            <w:szCs w:val="22"/>
          </w:rPr>
          <w:t>national</w:t>
        </w:r>
      </w:hyperlink>
      <w:r w:rsidRPr="00E91C18">
        <w:rPr>
          <w:rFonts w:ascii="Calibri" w:eastAsia="Arial" w:hAnsi="Calibri" w:cs="Calibri"/>
          <w:color w:val="000000" w:themeColor="text1"/>
          <w:sz w:val="22"/>
          <w:szCs w:val="22"/>
        </w:rPr>
        <w:t xml:space="preserve"> and</w:t>
      </w:r>
      <w:r w:rsidRPr="00E91C18">
        <w:rPr>
          <w:rFonts w:ascii="Calibri" w:eastAsia="Arial" w:hAnsi="Calibri" w:cs="Calibri"/>
          <w:sz w:val="22"/>
          <w:szCs w:val="22"/>
        </w:rPr>
        <w:t xml:space="preserve"> local </w:t>
      </w:r>
      <w:r w:rsidRPr="00E91C18">
        <w:rPr>
          <w:rFonts w:ascii="Calibri" w:eastAsia="Arial" w:hAnsi="Calibri" w:cs="Calibri"/>
          <w:color w:val="000000" w:themeColor="text1"/>
          <w:sz w:val="22"/>
          <w:szCs w:val="22"/>
        </w:rPr>
        <w:t xml:space="preserve">Digital Learning Strategies to avoid distractions, safeguarding concerns, and disruption caused by misuse. </w:t>
      </w:r>
      <w:r w:rsidRPr="00E91C18">
        <w:rPr>
          <w:rFonts w:ascii="Calibri" w:hAnsi="Calibri" w:cs="Calibri"/>
          <w:color w:val="000000" w:themeColor="text1"/>
          <w:sz w:val="22"/>
          <w:szCs w:val="22"/>
        </w:rPr>
        <w:t>This guidance aims to balance the benefits of technology with the need to protect wellbeing, privacy, and the integrity of the school day, ensuring that all members of the school community understand their responsibilities in relation to personal device use.</w:t>
      </w:r>
    </w:p>
    <w:p w14:paraId="357A6057" w14:textId="77777777" w:rsidR="00E91C18" w:rsidRPr="00E91C18" w:rsidRDefault="00E91C18" w:rsidP="00E91C18">
      <w:pPr>
        <w:rPr>
          <w:rFonts w:ascii="Calibri" w:hAnsi="Calibri" w:cs="Calibri"/>
          <w:sz w:val="18"/>
          <w:szCs w:val="18"/>
        </w:rPr>
      </w:pPr>
    </w:p>
    <w:p w14:paraId="32CECCBD" w14:textId="77777777" w:rsidR="00E91C18" w:rsidRPr="00E91C18" w:rsidRDefault="00E91C18" w:rsidP="00E91C18">
      <w:pPr>
        <w:spacing w:line="278" w:lineRule="auto"/>
        <w:jc w:val="both"/>
        <w:rPr>
          <w:rFonts w:ascii="Calibri" w:eastAsia="Arial" w:hAnsi="Calibri" w:cs="Calibri"/>
          <w:b/>
          <w:bCs/>
          <w:color w:val="000000" w:themeColor="text1"/>
          <w:sz w:val="22"/>
          <w:szCs w:val="22"/>
        </w:rPr>
      </w:pPr>
      <w:r w:rsidRPr="00E91C18">
        <w:rPr>
          <w:rFonts w:ascii="Calibri" w:eastAsia="Arial" w:hAnsi="Calibri" w:cs="Calibri"/>
          <w:b/>
          <w:bCs/>
          <w:color w:val="000000" w:themeColor="text1"/>
          <w:sz w:val="22"/>
          <w:szCs w:val="22"/>
        </w:rPr>
        <w:t>Digital conduct expectations</w:t>
      </w:r>
    </w:p>
    <w:p w14:paraId="42912E0D" w14:textId="77777777" w:rsidR="00E91C18" w:rsidRPr="00E91C18" w:rsidRDefault="00E91C18" w:rsidP="00E91C18">
      <w:pPr>
        <w:spacing w:line="278" w:lineRule="auto"/>
        <w:jc w:val="both"/>
        <w:rPr>
          <w:rFonts w:ascii="Calibri" w:eastAsia="Arial" w:hAnsi="Calibri" w:cs="Calibri"/>
          <w:b/>
          <w:bCs/>
          <w:color w:val="000000" w:themeColor="text1"/>
          <w:sz w:val="22"/>
          <w:szCs w:val="22"/>
        </w:rPr>
      </w:pPr>
    </w:p>
    <w:p w14:paraId="56A075D3" w14:textId="77777777" w:rsidR="00E91C18" w:rsidRPr="00E91C18" w:rsidRDefault="00E91C18" w:rsidP="00E91C18">
      <w:pPr>
        <w:spacing w:line="278" w:lineRule="auto"/>
        <w:jc w:val="both"/>
        <w:rPr>
          <w:rFonts w:ascii="Calibri" w:eastAsia="Yu Mincho" w:hAnsi="Calibri" w:cs="Calibri"/>
          <w:color w:val="000000" w:themeColor="text1"/>
          <w:sz w:val="22"/>
          <w:szCs w:val="22"/>
        </w:rPr>
      </w:pPr>
      <w:r w:rsidRPr="00E91C18">
        <w:rPr>
          <w:rFonts w:ascii="Calibri" w:eastAsia="Arial" w:hAnsi="Calibri" w:cs="Calibri"/>
          <w:color w:val="000000" w:themeColor="text1"/>
          <w:sz w:val="22"/>
          <w:szCs w:val="22"/>
        </w:rPr>
        <w:t xml:space="preserve">Features of a respectful and responsible use of mobile device policy would fall within three broad categories: </w:t>
      </w:r>
    </w:p>
    <w:p w14:paraId="64D4F5F8"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58ED0E86" w14:textId="77777777" w:rsidR="00E91C18" w:rsidRPr="00E91C18" w:rsidRDefault="00E91C18" w:rsidP="00E91C18">
      <w:pPr>
        <w:numPr>
          <w:ilvl w:val="0"/>
          <w:numId w:val="1"/>
        </w:numPr>
        <w:spacing w:after="200" w:line="278" w:lineRule="auto"/>
        <w:contextualSpacing/>
        <w:jc w:val="both"/>
        <w:rPr>
          <w:rFonts w:ascii="Calibri" w:eastAsia="Arial" w:hAnsi="Calibri" w:cs="Calibri"/>
          <w:color w:val="000000" w:themeColor="text1"/>
          <w:sz w:val="21"/>
          <w:szCs w:val="21"/>
        </w:rPr>
      </w:pPr>
      <w:r w:rsidRPr="00E91C18">
        <w:rPr>
          <w:rFonts w:ascii="Calibri" w:eastAsia="Arial" w:hAnsi="Calibri" w:cs="Calibri"/>
          <w:color w:val="000000" w:themeColor="text1"/>
          <w:sz w:val="22"/>
          <w:szCs w:val="22"/>
        </w:rPr>
        <w:t>digital rights and responsibilities (what individuals can and cannot do)</w:t>
      </w:r>
    </w:p>
    <w:p w14:paraId="195305F2" w14:textId="77777777" w:rsidR="00E91C18" w:rsidRPr="00E91C18" w:rsidRDefault="00E91C18" w:rsidP="00E91C18">
      <w:pPr>
        <w:numPr>
          <w:ilvl w:val="0"/>
          <w:numId w:val="1"/>
        </w:numPr>
        <w:spacing w:after="200" w:line="278" w:lineRule="auto"/>
        <w:contextualSpacing/>
        <w:jc w:val="both"/>
        <w:rPr>
          <w:rFonts w:ascii="Calibri" w:eastAsia="Arial" w:hAnsi="Calibri" w:cs="Calibri"/>
          <w:color w:val="000000" w:themeColor="text1"/>
          <w:sz w:val="21"/>
          <w:szCs w:val="21"/>
        </w:rPr>
      </w:pPr>
      <w:r w:rsidRPr="00E91C18">
        <w:rPr>
          <w:rFonts w:ascii="Calibri" w:eastAsia="Arial" w:hAnsi="Calibri" w:cs="Calibri"/>
          <w:color w:val="000000" w:themeColor="text1"/>
          <w:sz w:val="22"/>
          <w:szCs w:val="22"/>
        </w:rPr>
        <w:t>digital etiquette (standards of conduct when using mobile phones)</w:t>
      </w:r>
    </w:p>
    <w:p w14:paraId="2117D189" w14:textId="77777777" w:rsidR="00E91C18" w:rsidRPr="00E91C18" w:rsidRDefault="00E91C18" w:rsidP="00E91C18">
      <w:pPr>
        <w:numPr>
          <w:ilvl w:val="0"/>
          <w:numId w:val="1"/>
        </w:numPr>
        <w:spacing w:after="200" w:line="278" w:lineRule="auto"/>
        <w:contextualSpacing/>
        <w:jc w:val="both"/>
        <w:rPr>
          <w:rFonts w:ascii="Calibri" w:eastAsia="Arial" w:hAnsi="Calibri" w:cs="Calibri"/>
          <w:color w:val="000000" w:themeColor="text1"/>
          <w:sz w:val="21"/>
          <w:szCs w:val="21"/>
        </w:rPr>
      </w:pPr>
      <w:r w:rsidRPr="00E91C18">
        <w:rPr>
          <w:rFonts w:ascii="Calibri" w:eastAsia="Arial" w:hAnsi="Calibri" w:cs="Calibri"/>
          <w:color w:val="000000" w:themeColor="text1"/>
          <w:sz w:val="22"/>
          <w:szCs w:val="22"/>
        </w:rPr>
        <w:t>safe and secure use (precautions that can be taken to ensure digital safety)</w:t>
      </w:r>
    </w:p>
    <w:p w14:paraId="29CE2639" w14:textId="77777777" w:rsidR="00E91C18" w:rsidRPr="00E91C18" w:rsidRDefault="00E91C18" w:rsidP="00E91C18">
      <w:pPr>
        <w:spacing w:line="278" w:lineRule="auto"/>
        <w:jc w:val="both"/>
        <w:rPr>
          <w:rFonts w:ascii="Calibri" w:eastAsia="Arial" w:hAnsi="Calibri" w:cs="Calibri"/>
          <w:color w:val="000000" w:themeColor="text1"/>
          <w:sz w:val="21"/>
          <w:szCs w:val="21"/>
        </w:rPr>
      </w:pPr>
    </w:p>
    <w:p w14:paraId="649D2E0C" w14:textId="77777777" w:rsidR="00E91C18" w:rsidRPr="00E91C18" w:rsidRDefault="00E91C18" w:rsidP="00E91C18">
      <w:pPr>
        <w:spacing w:line="278" w:lineRule="auto"/>
        <w:jc w:val="both"/>
        <w:rPr>
          <w:rFonts w:ascii="Calibri" w:eastAsia="Yu Mincho" w:hAnsi="Calibri" w:cs="Calibri"/>
          <w:color w:val="000000" w:themeColor="text1"/>
          <w:sz w:val="22"/>
          <w:szCs w:val="22"/>
        </w:rPr>
      </w:pPr>
      <w:r w:rsidRPr="00E91C18">
        <w:rPr>
          <w:rFonts w:ascii="Calibri" w:eastAsia="Yu Mincho" w:hAnsi="Calibri" w:cs="Calibri"/>
          <w:color w:val="000000" w:themeColor="text1"/>
          <w:sz w:val="22"/>
          <w:szCs w:val="22"/>
        </w:rPr>
        <w:t>These expectations apply to all pupils and staff and are designed to ensure consistency, privacy, and responsible behaviour across all school contexts:</w:t>
      </w:r>
    </w:p>
    <w:p w14:paraId="7CFC7E4A" w14:textId="77777777" w:rsidR="00E91C18" w:rsidRPr="00E91C18" w:rsidRDefault="00E91C18" w:rsidP="00E91C18">
      <w:pPr>
        <w:spacing w:line="278" w:lineRule="auto"/>
        <w:jc w:val="both"/>
        <w:rPr>
          <w:rFonts w:ascii="Calibri" w:eastAsia="Yu Mincho" w:hAnsi="Calibri" w:cs="Calibri"/>
          <w:color w:val="000000" w:themeColor="text1"/>
          <w:sz w:val="22"/>
          <w:szCs w:val="22"/>
        </w:rPr>
      </w:pPr>
    </w:p>
    <w:p w14:paraId="7D85C75A" w14:textId="77777777" w:rsidR="00E91C18" w:rsidRPr="00E91C18" w:rsidRDefault="00E91C18" w:rsidP="00E91C18">
      <w:pPr>
        <w:numPr>
          <w:ilvl w:val="0"/>
          <w:numId w:val="2"/>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Permitted classroom use:</w:t>
      </w:r>
      <w:r w:rsidRPr="00E91C18">
        <w:rPr>
          <w:rFonts w:ascii="Calibri" w:eastAsia="Yu Mincho" w:hAnsi="Calibri" w:cs="Calibri"/>
          <w:color w:val="000000" w:themeColor="text1"/>
          <w:sz w:val="22"/>
          <w:szCs w:val="22"/>
        </w:rPr>
        <w:t xml:space="preserve"> Devices must be switched off or stored unless explicitly permitted for learning purposes.</w:t>
      </w:r>
    </w:p>
    <w:p w14:paraId="103DCC3F" w14:textId="77777777" w:rsidR="00E91C18" w:rsidRPr="00E91C18" w:rsidRDefault="00E91C18" w:rsidP="00E91C18">
      <w:pPr>
        <w:numPr>
          <w:ilvl w:val="0"/>
          <w:numId w:val="2"/>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Breaks and Social Times:</w:t>
      </w:r>
      <w:r w:rsidRPr="00E91C18">
        <w:rPr>
          <w:rFonts w:ascii="Calibri" w:eastAsia="Yu Mincho" w:hAnsi="Calibri" w:cs="Calibri"/>
          <w:color w:val="000000" w:themeColor="text1"/>
          <w:sz w:val="22"/>
          <w:szCs w:val="22"/>
        </w:rPr>
        <w:t xml:space="preserve"> Use is permitted in designated areas during break and lunch times in the social area and outside areas.</w:t>
      </w:r>
    </w:p>
    <w:p w14:paraId="2DD14CCD" w14:textId="77777777" w:rsidR="00E91C18" w:rsidRPr="00E91C18" w:rsidRDefault="00E91C18" w:rsidP="00E91C18">
      <w:pPr>
        <w:numPr>
          <w:ilvl w:val="0"/>
          <w:numId w:val="2"/>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Examinations:</w:t>
      </w:r>
      <w:r w:rsidRPr="00E91C18">
        <w:rPr>
          <w:rFonts w:ascii="Calibri" w:eastAsia="Yu Mincho" w:hAnsi="Calibri" w:cs="Calibri"/>
          <w:color w:val="000000" w:themeColor="text1"/>
          <w:sz w:val="22"/>
          <w:szCs w:val="22"/>
        </w:rPr>
        <w:t xml:space="preserve"> Devices are strictly prohibited during assessments.</w:t>
      </w:r>
    </w:p>
    <w:p w14:paraId="517C2BFD" w14:textId="77777777" w:rsidR="00E91C18" w:rsidRPr="00E91C18" w:rsidRDefault="00E91C18" w:rsidP="00E91C18">
      <w:pPr>
        <w:numPr>
          <w:ilvl w:val="0"/>
          <w:numId w:val="2"/>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Privacy:</w:t>
      </w:r>
      <w:r w:rsidRPr="00E91C18">
        <w:rPr>
          <w:rFonts w:ascii="Calibri" w:eastAsia="Yu Mincho" w:hAnsi="Calibri" w:cs="Calibri"/>
          <w:color w:val="000000" w:themeColor="text1"/>
          <w:sz w:val="22"/>
          <w:szCs w:val="22"/>
        </w:rPr>
        <w:t xml:space="preserve"> Filming or photography without consent is not allowed. Device use in toilets, changing rooms, and PE areas is strictly prohibited.</w:t>
      </w:r>
    </w:p>
    <w:p w14:paraId="23B068BF" w14:textId="77777777" w:rsidR="00E91C18" w:rsidRPr="00E91C18" w:rsidRDefault="00E91C18" w:rsidP="00E91C18">
      <w:pPr>
        <w:numPr>
          <w:ilvl w:val="0"/>
          <w:numId w:val="2"/>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Staff Modelling:</w:t>
      </w:r>
      <w:r w:rsidRPr="00E91C18">
        <w:rPr>
          <w:rFonts w:ascii="Calibri" w:eastAsia="Yu Mincho" w:hAnsi="Calibri" w:cs="Calibri"/>
          <w:color w:val="000000" w:themeColor="text1"/>
          <w:sz w:val="22"/>
          <w:szCs w:val="22"/>
        </w:rPr>
        <w:t xml:space="preserve"> Staff are expected to model responsible use and apply the policy consistently.</w:t>
      </w:r>
    </w:p>
    <w:p w14:paraId="41AF2713" w14:textId="77777777" w:rsidR="00E91C18" w:rsidRPr="00E91C18" w:rsidRDefault="00E91C18" w:rsidP="00E91C18">
      <w:pPr>
        <w:spacing w:line="278" w:lineRule="auto"/>
        <w:jc w:val="both"/>
        <w:rPr>
          <w:rFonts w:ascii="Calibri" w:eastAsia="Yu Mincho" w:hAnsi="Calibri" w:cs="Calibri"/>
          <w:color w:val="000000" w:themeColor="text1"/>
          <w:sz w:val="22"/>
          <w:szCs w:val="22"/>
        </w:rPr>
      </w:pPr>
    </w:p>
    <w:p w14:paraId="777AECE0" w14:textId="77777777" w:rsidR="00E91C18" w:rsidRPr="00E91C18" w:rsidRDefault="00E91C18" w:rsidP="00E91C18">
      <w:pPr>
        <w:spacing w:line="278" w:lineRule="auto"/>
        <w:jc w:val="both"/>
        <w:rPr>
          <w:rFonts w:ascii="Calibri" w:eastAsia="Yu Mincho" w:hAnsi="Calibri" w:cs="Calibri"/>
          <w:color w:val="000000" w:themeColor="text1"/>
          <w:sz w:val="22"/>
          <w:szCs w:val="22"/>
        </w:rPr>
      </w:pPr>
      <w:r w:rsidRPr="00E91C18">
        <w:rPr>
          <w:rFonts w:ascii="Calibri" w:eastAsia="Yu Mincho" w:hAnsi="Calibri" w:cs="Calibri"/>
          <w:color w:val="000000" w:themeColor="text1"/>
          <w:sz w:val="22"/>
          <w:szCs w:val="22"/>
        </w:rPr>
        <w:t>In line with Dundee’s Inclusion Strategy, this policy recognises the diverse needs of pupils and promotes equitable access and support in relation to personal digital device use:</w:t>
      </w:r>
    </w:p>
    <w:p w14:paraId="41DE3992" w14:textId="77777777" w:rsidR="00E91C18" w:rsidRPr="00E91C18" w:rsidRDefault="00E91C18" w:rsidP="00E91C18">
      <w:pPr>
        <w:spacing w:line="278" w:lineRule="auto"/>
        <w:jc w:val="both"/>
        <w:rPr>
          <w:rFonts w:ascii="Calibri" w:eastAsia="Yu Mincho" w:hAnsi="Calibri" w:cs="Calibri"/>
          <w:color w:val="000000" w:themeColor="text1"/>
          <w:sz w:val="22"/>
          <w:szCs w:val="22"/>
        </w:rPr>
      </w:pPr>
    </w:p>
    <w:p w14:paraId="05537AF9" w14:textId="77777777" w:rsidR="00E91C18" w:rsidRPr="00E91C18" w:rsidRDefault="00E91C18" w:rsidP="00E91C18">
      <w:pPr>
        <w:numPr>
          <w:ilvl w:val="0"/>
          <w:numId w:val="3"/>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Reasonable Adjustments</w:t>
      </w:r>
      <w:r w:rsidRPr="00E91C18">
        <w:rPr>
          <w:rFonts w:ascii="Calibri" w:eastAsia="Yu Mincho" w:hAnsi="Calibri" w:cs="Calibri"/>
          <w:color w:val="000000" w:themeColor="text1"/>
          <w:sz w:val="22"/>
          <w:szCs w:val="22"/>
        </w:rPr>
        <w:t>: Will be made for pupils with disabilities or additional support needs. (see exceptions below)</w:t>
      </w:r>
    </w:p>
    <w:p w14:paraId="6EA14944" w14:textId="77777777" w:rsidR="00E91C18" w:rsidRPr="00E91C18" w:rsidRDefault="00E91C18" w:rsidP="00E91C18">
      <w:pPr>
        <w:numPr>
          <w:ilvl w:val="0"/>
          <w:numId w:val="3"/>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Individual Circumstances</w:t>
      </w:r>
      <w:r w:rsidRPr="00E91C18">
        <w:rPr>
          <w:rFonts w:ascii="Calibri" w:eastAsia="Yu Mincho" w:hAnsi="Calibri" w:cs="Calibri"/>
          <w:color w:val="000000" w:themeColor="text1"/>
          <w:sz w:val="22"/>
          <w:szCs w:val="22"/>
        </w:rPr>
        <w:t>: Young carers, pupils with medical needs, or those with communication requirements may be granted exceptions.</w:t>
      </w:r>
    </w:p>
    <w:p w14:paraId="4AC79114" w14:textId="7EF9DB3F" w:rsidR="00E91C18" w:rsidRPr="00E91C18" w:rsidRDefault="00E91C18" w:rsidP="00E91C18">
      <w:pPr>
        <w:numPr>
          <w:ilvl w:val="0"/>
          <w:numId w:val="3"/>
        </w:numPr>
        <w:spacing w:after="200" w:line="278" w:lineRule="auto"/>
        <w:jc w:val="both"/>
        <w:rPr>
          <w:rFonts w:ascii="Calibri" w:eastAsia="Yu Mincho" w:hAnsi="Calibri" w:cs="Calibri"/>
          <w:color w:val="000000" w:themeColor="text1"/>
          <w:sz w:val="22"/>
          <w:szCs w:val="22"/>
        </w:rPr>
      </w:pPr>
      <w:r w:rsidRPr="00E91C18">
        <w:rPr>
          <w:rFonts w:ascii="Calibri" w:eastAsia="Yu Mincho" w:hAnsi="Calibri" w:cs="Calibri"/>
          <w:b/>
          <w:bCs/>
          <w:color w:val="000000" w:themeColor="text1"/>
          <w:sz w:val="22"/>
          <w:szCs w:val="22"/>
        </w:rPr>
        <w:t>Positive Relationships</w:t>
      </w:r>
      <w:r w:rsidRPr="00E91C18">
        <w:rPr>
          <w:rFonts w:ascii="Calibri" w:eastAsia="Yu Mincho" w:hAnsi="Calibri" w:cs="Calibri"/>
          <w:color w:val="000000" w:themeColor="text1"/>
          <w:sz w:val="22"/>
          <w:szCs w:val="22"/>
        </w:rPr>
        <w:t>: This policy is rooted in nurturing approaches and built on positive relationships.</w:t>
      </w:r>
    </w:p>
    <w:p w14:paraId="65158EDF" w14:textId="77777777" w:rsidR="00E91C18" w:rsidRPr="00E91C18" w:rsidRDefault="00E91C18" w:rsidP="00E91C18">
      <w:pPr>
        <w:spacing w:line="278" w:lineRule="auto"/>
        <w:jc w:val="both"/>
        <w:rPr>
          <w:rFonts w:ascii="Calibri" w:eastAsia="Yu Mincho" w:hAnsi="Calibri" w:cs="Calibri"/>
          <w:color w:val="000000" w:themeColor="text1"/>
          <w:sz w:val="22"/>
          <w:szCs w:val="22"/>
        </w:rPr>
      </w:pPr>
      <w:r w:rsidRPr="00E91C18">
        <w:rPr>
          <w:rFonts w:ascii="Calibri" w:eastAsia="Arial" w:hAnsi="Calibri" w:cs="Calibri"/>
          <w:b/>
          <w:bCs/>
          <w:color w:val="000000" w:themeColor="text1"/>
          <w:sz w:val="22"/>
          <w:szCs w:val="22"/>
        </w:rPr>
        <w:t xml:space="preserve">Emergency Contacts: </w:t>
      </w:r>
      <w:r w:rsidRPr="00E91C18">
        <w:rPr>
          <w:rFonts w:ascii="Calibri" w:eastAsia="Arial" w:hAnsi="Calibri" w:cs="Calibri"/>
          <w:color w:val="000000" w:themeColor="text1"/>
          <w:sz w:val="22"/>
          <w:szCs w:val="22"/>
        </w:rPr>
        <w:t xml:space="preserve">In the case of emergency, pupils should contact a member of staff who will facilitate communication with parents or carer. Parents who need to make urgent contact with their child should contact the school office on 01382 307 000. Any unwell pupils or required absences should follow the school procedures and protocols. </w:t>
      </w:r>
    </w:p>
    <w:p w14:paraId="0716DC5A"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13102C49" w14:textId="77777777" w:rsidR="00E91C18" w:rsidRPr="00E91C18" w:rsidRDefault="00E91C18" w:rsidP="00E91C18">
      <w:pPr>
        <w:spacing w:line="278" w:lineRule="auto"/>
        <w:jc w:val="both"/>
        <w:rPr>
          <w:rFonts w:ascii="Calibri" w:eastAsia="Arial" w:hAnsi="Calibri" w:cs="Calibri"/>
          <w:color w:val="000000" w:themeColor="text1"/>
          <w:sz w:val="22"/>
          <w:szCs w:val="22"/>
        </w:rPr>
      </w:pPr>
      <w:r w:rsidRPr="00E91C18">
        <w:rPr>
          <w:rFonts w:ascii="Calibri" w:eastAsia="Arial" w:hAnsi="Calibri" w:cs="Calibri"/>
          <w:b/>
          <w:bCs/>
          <w:color w:val="000000" w:themeColor="text1"/>
          <w:sz w:val="22"/>
          <w:szCs w:val="22"/>
        </w:rPr>
        <w:t xml:space="preserve">Exceptions: </w:t>
      </w:r>
      <w:r w:rsidRPr="00E91C18">
        <w:rPr>
          <w:rFonts w:ascii="Calibri" w:eastAsia="Arial" w:hAnsi="Calibri" w:cs="Calibri"/>
          <w:color w:val="000000" w:themeColor="text1"/>
          <w:sz w:val="22"/>
          <w:szCs w:val="22"/>
        </w:rPr>
        <w:t xml:space="preserve">Exceptions to this policy may be made for pupils with specific needs, such as young carers or those with medical conditions. This includes devices provided by NHS for specific learning needs. The parameters of any exceptional arrangement will be agreed on by all relevant stakeholders and managed on a case-by-case basis. </w:t>
      </w:r>
    </w:p>
    <w:p w14:paraId="6E7F99D9"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303E15EA" w14:textId="77777777" w:rsidR="00E91C18" w:rsidRPr="00E91C18" w:rsidRDefault="00E91C18" w:rsidP="00E91C18">
      <w:pPr>
        <w:spacing w:line="278" w:lineRule="auto"/>
        <w:jc w:val="both"/>
        <w:rPr>
          <w:rFonts w:ascii="Calibri" w:eastAsia="Arial" w:hAnsi="Calibri" w:cs="Calibri"/>
          <w:b/>
          <w:bCs/>
          <w:color w:val="000000" w:themeColor="text1"/>
          <w:sz w:val="22"/>
          <w:szCs w:val="22"/>
        </w:rPr>
      </w:pPr>
      <w:r w:rsidRPr="00E91C18">
        <w:rPr>
          <w:rFonts w:ascii="Calibri" w:eastAsia="Arial" w:hAnsi="Calibri" w:cs="Calibri"/>
          <w:b/>
          <w:bCs/>
          <w:color w:val="000000" w:themeColor="text1"/>
          <w:sz w:val="22"/>
          <w:szCs w:val="22"/>
        </w:rPr>
        <w:t>The following directions for mobile phone use will be followed:</w:t>
      </w:r>
    </w:p>
    <w:p w14:paraId="58DB840E"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7865E2F3" w14:textId="77777777" w:rsidR="00E91C18" w:rsidRPr="00E91C18" w:rsidRDefault="00E91C18" w:rsidP="00E91C18">
      <w:p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At Morgan Academy, READY to learn means all mobile devices are out of sight before entering class and don’t disrupt learning.</w:t>
      </w:r>
    </w:p>
    <w:p w14:paraId="77C08A9F"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3092E9D4" w14:textId="77777777" w:rsidR="00E91C18" w:rsidRPr="00E91C18" w:rsidRDefault="00E91C18" w:rsidP="00E91C18">
      <w:p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At Morgan, the following 4 steps are followed to support the policy:</w:t>
      </w:r>
    </w:p>
    <w:p w14:paraId="0F212B6E"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068BE465" w14:textId="77777777" w:rsidR="00E91C18" w:rsidRPr="00E91C18" w:rsidRDefault="00E91C18" w:rsidP="00E91C18">
      <w:pPr>
        <w:pStyle w:val="ListParagraph"/>
        <w:numPr>
          <w:ilvl w:val="0"/>
          <w:numId w:val="4"/>
        </w:num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Reminder for all on entry to class – where possible</w:t>
      </w:r>
    </w:p>
    <w:p w14:paraId="3FC5AA78"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1D2984C7" w14:textId="77777777" w:rsidR="00E91C18" w:rsidRPr="00E91C18" w:rsidRDefault="00E91C18" w:rsidP="00E91C18">
      <w:pPr>
        <w:pStyle w:val="ListParagraph"/>
        <w:numPr>
          <w:ilvl w:val="0"/>
          <w:numId w:val="4"/>
        </w:num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Warning – and instruction to put phone out of sight</w:t>
      </w:r>
    </w:p>
    <w:p w14:paraId="5CD78F32"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549D6740" w14:textId="77777777" w:rsidR="00E91C18" w:rsidRPr="00E91C18" w:rsidRDefault="00E91C18" w:rsidP="00E91C18">
      <w:pPr>
        <w:pStyle w:val="ListParagraph"/>
        <w:numPr>
          <w:ilvl w:val="0"/>
          <w:numId w:val="4"/>
        </w:num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Last Chance – or proceed to intervention</w:t>
      </w:r>
    </w:p>
    <w:p w14:paraId="358EE648"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46251E70" w14:textId="77777777" w:rsidR="00E91C18" w:rsidRPr="00E91C18" w:rsidRDefault="00E91C18" w:rsidP="00E91C18">
      <w:pPr>
        <w:pStyle w:val="ListParagraph"/>
        <w:numPr>
          <w:ilvl w:val="0"/>
          <w:numId w:val="4"/>
        </w:num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Intervention - The phone will be placed in the teacher’s care and returned at the end of the lesson, or you will be removed from class to avoid further disruption to learning and the phone will be looked after by management for the remainder of the school day and stored securely. In certain cases, involving serious or repeated misuse, parents/carers may be requested to come to school to collect the electronic device.</w:t>
      </w:r>
    </w:p>
    <w:p w14:paraId="190D9711"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39691BA0" w14:textId="77777777" w:rsidR="00E91C18" w:rsidRPr="00E91C18" w:rsidRDefault="00E91C18" w:rsidP="00E91C18">
      <w:p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Where there have been previous issues with the phone use, the teacher reserves the right to intervene at an earlier stage and ask for the phone to be placed in the teacher’s care. Regular or continued misuse will result in a meeting with parents/carers, with a request to keep the electronic device at home for an agreed period of time.</w:t>
      </w:r>
    </w:p>
    <w:p w14:paraId="1055A8A9" w14:textId="77777777" w:rsidR="00E91C18" w:rsidRPr="00E91C18" w:rsidRDefault="00E91C18" w:rsidP="00E91C18">
      <w:pPr>
        <w:spacing w:line="278" w:lineRule="auto"/>
        <w:jc w:val="both"/>
        <w:rPr>
          <w:rFonts w:ascii="Calibri" w:eastAsia="Arial" w:hAnsi="Calibri" w:cs="Calibri"/>
          <w:color w:val="000000" w:themeColor="text1"/>
          <w:sz w:val="22"/>
          <w:szCs w:val="22"/>
        </w:rPr>
      </w:pPr>
    </w:p>
    <w:p w14:paraId="41342593" w14:textId="77777777" w:rsidR="00E91C18" w:rsidRPr="00E91C18" w:rsidRDefault="00E91C18" w:rsidP="00E91C18">
      <w:pPr>
        <w:spacing w:line="278" w:lineRule="auto"/>
        <w:jc w:val="both"/>
        <w:rPr>
          <w:rFonts w:ascii="Calibri" w:eastAsia="Arial" w:hAnsi="Calibri" w:cs="Calibri"/>
          <w:color w:val="000000" w:themeColor="text1"/>
          <w:sz w:val="22"/>
          <w:szCs w:val="22"/>
        </w:rPr>
      </w:pPr>
      <w:r w:rsidRPr="00E91C18">
        <w:rPr>
          <w:rFonts w:ascii="Calibri" w:eastAsia="Arial" w:hAnsi="Calibri" w:cs="Calibri"/>
          <w:color w:val="000000" w:themeColor="text1"/>
          <w:sz w:val="22"/>
          <w:szCs w:val="22"/>
        </w:rPr>
        <w:t>Bullying by mobile device or social networking sites which impacts on other pupils in school will be dealt with in accordance with the school’s Anti-Bullying policy.</w:t>
      </w:r>
    </w:p>
    <w:p w14:paraId="524CC162" w14:textId="77777777" w:rsidR="00E91C18" w:rsidRPr="00E91C18" w:rsidRDefault="00E91C18" w:rsidP="00E91C18">
      <w:pPr>
        <w:spacing w:line="278" w:lineRule="auto"/>
        <w:jc w:val="both"/>
        <w:rPr>
          <w:rFonts w:ascii="Calibri" w:hAnsi="Calibri" w:cs="Calibri"/>
          <w:color w:val="000000" w:themeColor="text1"/>
          <w:sz w:val="18"/>
          <w:szCs w:val="18"/>
        </w:rPr>
      </w:pPr>
    </w:p>
    <w:p w14:paraId="0BAD445B" w14:textId="77777777" w:rsidR="00E91C18" w:rsidRDefault="00E91C18" w:rsidP="00E91C18">
      <w:pPr>
        <w:spacing w:line="278" w:lineRule="auto"/>
        <w:jc w:val="both"/>
        <w:rPr>
          <w:rFonts w:ascii="Calibri" w:hAnsi="Calibri" w:cs="Calibri"/>
          <w:b/>
          <w:bCs/>
          <w:color w:val="000000" w:themeColor="text1"/>
          <w:sz w:val="22"/>
          <w:szCs w:val="22"/>
        </w:rPr>
      </w:pPr>
    </w:p>
    <w:p w14:paraId="3027CAC2" w14:textId="77777777" w:rsidR="00E91C18" w:rsidRDefault="00E91C18" w:rsidP="00E91C18">
      <w:pPr>
        <w:spacing w:line="278" w:lineRule="auto"/>
        <w:jc w:val="both"/>
        <w:rPr>
          <w:rFonts w:ascii="Calibri" w:hAnsi="Calibri" w:cs="Calibri"/>
          <w:b/>
          <w:bCs/>
          <w:color w:val="000000" w:themeColor="text1"/>
          <w:sz w:val="22"/>
          <w:szCs w:val="22"/>
        </w:rPr>
      </w:pPr>
    </w:p>
    <w:p w14:paraId="598F14A3" w14:textId="11241434" w:rsidR="00E91C18" w:rsidRPr="00E91C18" w:rsidRDefault="00E91C18" w:rsidP="00E91C18">
      <w:pPr>
        <w:spacing w:line="278" w:lineRule="auto"/>
        <w:jc w:val="both"/>
        <w:rPr>
          <w:rFonts w:ascii="Calibri" w:hAnsi="Calibri" w:cs="Calibri"/>
          <w:b/>
          <w:bCs/>
          <w:color w:val="000000" w:themeColor="text1"/>
          <w:sz w:val="22"/>
          <w:szCs w:val="22"/>
        </w:rPr>
      </w:pPr>
      <w:r w:rsidRPr="00E91C18">
        <w:rPr>
          <w:rFonts w:ascii="Calibri" w:hAnsi="Calibri" w:cs="Calibri"/>
          <w:b/>
          <w:bCs/>
          <w:color w:val="000000" w:themeColor="text1"/>
          <w:sz w:val="22"/>
          <w:szCs w:val="22"/>
        </w:rPr>
        <w:t>Digital Safety</w:t>
      </w:r>
    </w:p>
    <w:p w14:paraId="61178DF9" w14:textId="77777777" w:rsidR="00E91C18" w:rsidRPr="00E91C18" w:rsidRDefault="00E91C18" w:rsidP="00E91C18">
      <w:pPr>
        <w:spacing w:line="278" w:lineRule="auto"/>
        <w:jc w:val="both"/>
        <w:rPr>
          <w:rFonts w:ascii="Calibri" w:hAnsi="Calibri" w:cs="Calibri"/>
          <w:color w:val="000000" w:themeColor="text1"/>
          <w:sz w:val="22"/>
          <w:szCs w:val="22"/>
        </w:rPr>
      </w:pPr>
      <w:r w:rsidRPr="00E91C18">
        <w:rPr>
          <w:rFonts w:ascii="Calibri" w:hAnsi="Calibri" w:cs="Calibri"/>
          <w:color w:val="000000" w:themeColor="text1"/>
          <w:sz w:val="22"/>
          <w:szCs w:val="22"/>
        </w:rPr>
        <w:t xml:space="preserve">Digital safety is a vital part of the curriculum and embedded across learning experiences to support responsible and informed use of personal digital devices. Morgan Academy incorporates lessons on digital safety, etiquette, and the rights and responsibilities associated with technology use. </w:t>
      </w:r>
    </w:p>
    <w:p w14:paraId="5FAE84B6" w14:textId="77777777" w:rsidR="00E91C18" w:rsidRPr="00E91C18" w:rsidRDefault="00E91C18" w:rsidP="00E91C18">
      <w:pPr>
        <w:spacing w:line="278" w:lineRule="auto"/>
        <w:jc w:val="both"/>
        <w:rPr>
          <w:rFonts w:ascii="Calibri" w:hAnsi="Calibri" w:cs="Calibri"/>
          <w:color w:val="000000" w:themeColor="text1"/>
          <w:sz w:val="22"/>
          <w:szCs w:val="22"/>
        </w:rPr>
      </w:pPr>
    </w:p>
    <w:p w14:paraId="4526329A" w14:textId="77777777" w:rsidR="00E91C18" w:rsidRPr="00E91C18" w:rsidRDefault="00E91C18" w:rsidP="00E91C18">
      <w:pPr>
        <w:spacing w:line="278" w:lineRule="auto"/>
        <w:jc w:val="both"/>
        <w:rPr>
          <w:rFonts w:ascii="Calibri" w:hAnsi="Calibri" w:cs="Calibri"/>
          <w:b/>
          <w:bCs/>
          <w:color w:val="000000" w:themeColor="text1"/>
          <w:sz w:val="22"/>
          <w:szCs w:val="22"/>
        </w:rPr>
      </w:pPr>
      <w:r w:rsidRPr="00E91C18">
        <w:rPr>
          <w:rFonts w:ascii="Calibri" w:hAnsi="Calibri" w:cs="Calibri"/>
          <w:b/>
          <w:bCs/>
          <w:color w:val="000000" w:themeColor="text1"/>
          <w:sz w:val="22"/>
          <w:szCs w:val="22"/>
        </w:rPr>
        <w:t>Legal Aspects</w:t>
      </w:r>
    </w:p>
    <w:p w14:paraId="65701AC8" w14:textId="77777777" w:rsidR="00E91C18" w:rsidRPr="00E91C18" w:rsidRDefault="00E91C18" w:rsidP="00E91C18">
      <w:pPr>
        <w:jc w:val="both"/>
        <w:rPr>
          <w:rFonts w:ascii="Calibri" w:hAnsi="Calibri" w:cs="Calibri"/>
          <w:color w:val="000000" w:themeColor="text1"/>
          <w:sz w:val="22"/>
          <w:szCs w:val="22"/>
        </w:rPr>
      </w:pPr>
      <w:r w:rsidRPr="00E91C18">
        <w:rPr>
          <w:rFonts w:ascii="Calibri" w:hAnsi="Calibri" w:cs="Calibri"/>
          <w:color w:val="000000" w:themeColor="text1"/>
          <w:sz w:val="22"/>
          <w:szCs w:val="22"/>
        </w:rPr>
        <w:t>Legal and safeguarding responsibilities are central to the safe management of personal digital devices in schools. Staff must not access pupil devices without explicit consent, and any misuse involving potential criminal behaviour must be referred to the appropriate authorities. Taking photos or videos without permission may breach individual rights and, in some cases, constitute a criminal offence. To ensure pupil safety and effective communication, emergency contact protocols must be clearly defined, consistently applied, and easily accessible to all members of the school community.</w:t>
      </w:r>
    </w:p>
    <w:p w14:paraId="18C04685" w14:textId="77777777" w:rsidR="00E91C18" w:rsidRPr="00E91C18" w:rsidRDefault="00E91C18" w:rsidP="00E91C18">
      <w:pPr>
        <w:jc w:val="both"/>
        <w:rPr>
          <w:rFonts w:ascii="Calibri" w:hAnsi="Calibri" w:cs="Calibri"/>
          <w:color w:val="000000" w:themeColor="text1"/>
          <w:sz w:val="22"/>
          <w:szCs w:val="22"/>
        </w:rPr>
      </w:pPr>
    </w:p>
    <w:p w14:paraId="235E2A52" w14:textId="77777777" w:rsidR="00E91C18" w:rsidRPr="00E91C18" w:rsidRDefault="00E91C18" w:rsidP="00E91C18">
      <w:pPr>
        <w:jc w:val="both"/>
        <w:rPr>
          <w:rFonts w:ascii="Calibri" w:hAnsi="Calibri" w:cs="Calibri"/>
          <w:color w:val="000000" w:themeColor="text1"/>
        </w:rPr>
      </w:pPr>
      <w:r w:rsidRPr="00E91C18">
        <w:rPr>
          <w:rFonts w:ascii="Calibri" w:eastAsia="Arial" w:hAnsi="Calibri" w:cs="Calibri"/>
          <w:color w:val="000000" w:themeColor="text1"/>
          <w:sz w:val="22"/>
          <w:szCs w:val="22"/>
        </w:rPr>
        <w:t>Morgan Academy does not accept responsibility for any damage to mobile phones whilst on school property.</w:t>
      </w:r>
    </w:p>
    <w:p w14:paraId="6E8A42A2" w14:textId="77777777" w:rsidR="00E91C18" w:rsidRPr="00E91C18" w:rsidRDefault="00E91C18" w:rsidP="00E91C18">
      <w:pPr>
        <w:jc w:val="both"/>
        <w:rPr>
          <w:rFonts w:ascii="Calibri" w:eastAsia="Arial" w:hAnsi="Calibri" w:cs="Calibri"/>
          <w:color w:val="000000" w:themeColor="text1"/>
          <w:sz w:val="22"/>
          <w:szCs w:val="22"/>
        </w:rPr>
      </w:pPr>
    </w:p>
    <w:p w14:paraId="492B3F8E" w14:textId="77777777" w:rsidR="00E91C18" w:rsidRPr="00E91C18" w:rsidRDefault="00E91C18" w:rsidP="00E91C18">
      <w:pPr>
        <w:jc w:val="both"/>
        <w:rPr>
          <w:rFonts w:ascii="Calibri" w:eastAsia="Arial" w:hAnsi="Calibri" w:cs="Calibri"/>
          <w:b/>
          <w:bCs/>
          <w:color w:val="000000" w:themeColor="text1"/>
        </w:rPr>
      </w:pPr>
      <w:r w:rsidRPr="00E91C18">
        <w:rPr>
          <w:rFonts w:ascii="Calibri" w:eastAsia="Arial" w:hAnsi="Calibri" w:cs="Calibri"/>
          <w:b/>
          <w:bCs/>
          <w:color w:val="000000" w:themeColor="text1"/>
        </w:rPr>
        <w:t>Appendices &amp; related links/documents</w:t>
      </w:r>
    </w:p>
    <w:p w14:paraId="1B320A6C" w14:textId="77777777" w:rsidR="00E91C18" w:rsidRPr="00E91C18" w:rsidRDefault="00E91C18" w:rsidP="00E91C18">
      <w:pPr>
        <w:jc w:val="both"/>
        <w:rPr>
          <w:rFonts w:ascii="Calibri" w:eastAsia="Arial" w:hAnsi="Calibri" w:cs="Calibri"/>
          <w:b/>
          <w:bCs/>
          <w:color w:val="000000" w:themeColor="text1"/>
          <w:sz w:val="22"/>
          <w:szCs w:val="22"/>
        </w:rPr>
      </w:pPr>
    </w:p>
    <w:p w14:paraId="69C690EC" w14:textId="77777777" w:rsidR="00E91C18" w:rsidRPr="00E91C18" w:rsidRDefault="00E91C18" w:rsidP="00E91C18">
      <w:pPr>
        <w:shd w:val="clear" w:color="auto" w:fill="FFFFFF" w:themeFill="background1"/>
        <w:jc w:val="both"/>
        <w:rPr>
          <w:rFonts w:ascii="Calibri" w:eastAsia="Arial" w:hAnsi="Calibri" w:cs="Calibri"/>
          <w:color w:val="000000" w:themeColor="text1"/>
        </w:rPr>
      </w:pPr>
      <w:hyperlink r:id="rId9">
        <w:r w:rsidRPr="00E91C18">
          <w:rPr>
            <w:rStyle w:val="Hyperlink"/>
            <w:rFonts w:ascii="Calibri" w:eastAsia="Arial" w:hAnsi="Calibri" w:cs="Calibri"/>
            <w:color w:val="000000" w:themeColor="text1"/>
          </w:rPr>
          <w:t>Mobile phones: guidance for Scotland's schools, Scottish Government</w:t>
        </w:r>
      </w:hyperlink>
    </w:p>
    <w:p w14:paraId="01B296B7" w14:textId="77777777" w:rsidR="00E91C18" w:rsidRPr="00E91C18" w:rsidRDefault="00E91C18" w:rsidP="00E91C18">
      <w:pPr>
        <w:shd w:val="clear" w:color="auto" w:fill="FFFFFF" w:themeFill="background1"/>
        <w:jc w:val="both"/>
        <w:rPr>
          <w:rFonts w:ascii="Calibri" w:eastAsia="Arial" w:hAnsi="Calibri" w:cs="Calibri"/>
          <w:color w:val="000000" w:themeColor="text1"/>
        </w:rPr>
      </w:pPr>
      <w:r w:rsidRPr="00E91C18">
        <w:rPr>
          <w:rFonts w:ascii="Calibri" w:eastAsia="Arial" w:hAnsi="Calibri" w:cs="Calibri"/>
          <w:color w:val="000000" w:themeColor="text1"/>
        </w:rPr>
        <w:t xml:space="preserve"> </w:t>
      </w:r>
    </w:p>
    <w:p w14:paraId="14F51970" w14:textId="77777777" w:rsidR="00E91C18" w:rsidRPr="00E91C18" w:rsidRDefault="00E91C18" w:rsidP="00E91C18">
      <w:pPr>
        <w:shd w:val="clear" w:color="auto" w:fill="FFFFFF" w:themeFill="background1"/>
        <w:jc w:val="both"/>
        <w:rPr>
          <w:rFonts w:ascii="Calibri" w:eastAsia="Arial" w:hAnsi="Calibri" w:cs="Calibri"/>
          <w:color w:val="000000" w:themeColor="text1"/>
        </w:rPr>
      </w:pPr>
      <w:hyperlink r:id="rId10">
        <w:r w:rsidRPr="00E91C18">
          <w:rPr>
            <w:rStyle w:val="Hyperlink"/>
            <w:rFonts w:ascii="Calibri" w:eastAsia="Arial" w:hAnsi="Calibri" w:cs="Calibri"/>
            <w:color w:val="000000" w:themeColor="text1"/>
          </w:rPr>
          <w:t>UN Convention on the Rights of the Child (UNCRC)</w:t>
        </w:r>
      </w:hyperlink>
    </w:p>
    <w:p w14:paraId="19DD8B8C" w14:textId="77777777" w:rsidR="00E91C18" w:rsidRPr="00E91C18" w:rsidRDefault="00E91C18" w:rsidP="00E91C18">
      <w:pPr>
        <w:shd w:val="clear" w:color="auto" w:fill="FFFFFF" w:themeFill="background1"/>
        <w:jc w:val="both"/>
        <w:rPr>
          <w:rFonts w:ascii="Calibri" w:eastAsia="Arial" w:hAnsi="Calibri" w:cs="Calibri"/>
          <w:color w:val="000000" w:themeColor="text1"/>
        </w:rPr>
      </w:pPr>
      <w:r w:rsidRPr="00E91C18">
        <w:rPr>
          <w:rFonts w:ascii="Calibri" w:eastAsia="Arial" w:hAnsi="Calibri" w:cs="Calibri"/>
          <w:color w:val="000000" w:themeColor="text1"/>
        </w:rPr>
        <w:t xml:space="preserve"> </w:t>
      </w:r>
    </w:p>
    <w:p w14:paraId="633F4AA1" w14:textId="77777777" w:rsidR="00E91C18" w:rsidRPr="00E91C18" w:rsidRDefault="00E91C18" w:rsidP="00E91C18">
      <w:pPr>
        <w:shd w:val="clear" w:color="auto" w:fill="FFFFFF" w:themeFill="background1"/>
        <w:jc w:val="both"/>
        <w:rPr>
          <w:rFonts w:ascii="Calibri" w:hAnsi="Calibri" w:cs="Calibri"/>
          <w:color w:val="000000" w:themeColor="text1"/>
        </w:rPr>
      </w:pPr>
      <w:hyperlink r:id="rId11">
        <w:r w:rsidRPr="00E91C18">
          <w:rPr>
            <w:rStyle w:val="Hyperlink"/>
            <w:rFonts w:ascii="Calibri" w:eastAsia="Arial" w:hAnsi="Calibri" w:cs="Calibri"/>
            <w:color w:val="000000" w:themeColor="text1"/>
          </w:rPr>
          <w:t>Anti Bullying Guidelines, Dundee City Council</w:t>
        </w:r>
      </w:hyperlink>
    </w:p>
    <w:p w14:paraId="0E1EFB5A" w14:textId="77777777" w:rsidR="00E91C18" w:rsidRPr="00E91C18" w:rsidRDefault="00E91C18" w:rsidP="00E91C18">
      <w:pPr>
        <w:shd w:val="clear" w:color="auto" w:fill="FFFFFF" w:themeFill="background1"/>
        <w:jc w:val="both"/>
        <w:rPr>
          <w:rFonts w:ascii="Calibri" w:eastAsia="Arial" w:hAnsi="Calibri" w:cs="Calibri"/>
          <w:color w:val="000000" w:themeColor="text1"/>
        </w:rPr>
      </w:pPr>
    </w:p>
    <w:p w14:paraId="559D5EA5" w14:textId="77777777" w:rsidR="00E91C18" w:rsidRPr="00E91C18" w:rsidRDefault="00E91C18" w:rsidP="00E91C18">
      <w:pPr>
        <w:shd w:val="clear" w:color="auto" w:fill="FFFFFF" w:themeFill="background1"/>
        <w:jc w:val="both"/>
        <w:rPr>
          <w:rFonts w:ascii="Calibri" w:hAnsi="Calibri" w:cs="Calibri"/>
          <w:color w:val="000000" w:themeColor="text1"/>
        </w:rPr>
      </w:pPr>
      <w:hyperlink r:id="rId12">
        <w:r w:rsidRPr="00E91C18">
          <w:rPr>
            <w:rStyle w:val="Hyperlink"/>
            <w:rFonts w:ascii="Calibri" w:eastAsia="Arial" w:hAnsi="Calibri" w:cs="Calibri"/>
            <w:color w:val="000000" w:themeColor="text1"/>
          </w:rPr>
          <w:t>Anti Bullying Leaflet, Dundee City Council</w:t>
        </w:r>
      </w:hyperlink>
    </w:p>
    <w:p w14:paraId="1144CD91" w14:textId="77777777" w:rsidR="00E91C18" w:rsidRPr="00E91C18" w:rsidRDefault="00E91C18" w:rsidP="00E91C18">
      <w:pPr>
        <w:shd w:val="clear" w:color="auto" w:fill="FFFFFF" w:themeFill="background1"/>
        <w:jc w:val="both"/>
        <w:rPr>
          <w:rFonts w:ascii="Calibri" w:eastAsia="Arial" w:hAnsi="Calibri" w:cs="Calibri"/>
          <w:color w:val="000000" w:themeColor="text1"/>
        </w:rPr>
      </w:pPr>
      <w:r w:rsidRPr="00E91C18">
        <w:rPr>
          <w:rFonts w:ascii="Calibri" w:eastAsia="Arial" w:hAnsi="Calibri" w:cs="Calibri"/>
          <w:color w:val="000000" w:themeColor="text1"/>
        </w:rPr>
        <w:t xml:space="preserve"> </w:t>
      </w:r>
    </w:p>
    <w:p w14:paraId="047AFC73" w14:textId="77777777" w:rsidR="00E91C18" w:rsidRPr="00E91C18" w:rsidRDefault="00E91C18" w:rsidP="00E91C18">
      <w:pPr>
        <w:jc w:val="both"/>
        <w:rPr>
          <w:rFonts w:ascii="Calibri" w:eastAsia="Arial" w:hAnsi="Calibri" w:cs="Calibri"/>
          <w:color w:val="000000" w:themeColor="text1"/>
        </w:rPr>
      </w:pPr>
    </w:p>
    <w:p w14:paraId="7D337303" w14:textId="77777777" w:rsidR="00E91C18" w:rsidRPr="00E91C18" w:rsidRDefault="00E91C18" w:rsidP="00E91C18">
      <w:pPr>
        <w:spacing w:before="210" w:after="210" w:line="300" w:lineRule="auto"/>
        <w:rPr>
          <w:rFonts w:ascii="Calibri" w:eastAsia="Segoe UI" w:hAnsi="Calibri" w:cs="Calibri"/>
          <w:sz w:val="22"/>
          <w:szCs w:val="22"/>
        </w:rPr>
      </w:pPr>
      <w:r w:rsidRPr="00E91C18">
        <w:rPr>
          <w:rFonts w:ascii="Calibri" w:eastAsia="Segoe UI" w:hAnsi="Calibri" w:cs="Calibri"/>
          <w:sz w:val="22"/>
          <w:szCs w:val="22"/>
        </w:rPr>
        <w:t>Date of implementation of this policy: 19</w:t>
      </w:r>
      <w:r w:rsidRPr="00E91C18">
        <w:rPr>
          <w:rFonts w:ascii="Calibri" w:eastAsia="Segoe UI" w:hAnsi="Calibri" w:cs="Calibri"/>
          <w:sz w:val="22"/>
          <w:szCs w:val="22"/>
          <w:vertAlign w:val="superscript"/>
        </w:rPr>
        <w:t>th</w:t>
      </w:r>
      <w:r w:rsidRPr="00E91C18">
        <w:rPr>
          <w:rFonts w:ascii="Calibri" w:eastAsia="Segoe UI" w:hAnsi="Calibri" w:cs="Calibri"/>
          <w:sz w:val="22"/>
          <w:szCs w:val="22"/>
        </w:rPr>
        <w:t xml:space="preserve"> August 2024. Date of review of policy: 15</w:t>
      </w:r>
      <w:r w:rsidRPr="00E91C18">
        <w:rPr>
          <w:rFonts w:ascii="Calibri" w:eastAsia="Segoe UI" w:hAnsi="Calibri" w:cs="Calibri"/>
          <w:sz w:val="22"/>
          <w:szCs w:val="22"/>
          <w:vertAlign w:val="superscript"/>
        </w:rPr>
        <w:t>th</w:t>
      </w:r>
      <w:r w:rsidRPr="00E91C18">
        <w:rPr>
          <w:rFonts w:ascii="Calibri" w:eastAsia="Segoe UI" w:hAnsi="Calibri" w:cs="Calibri"/>
          <w:sz w:val="22"/>
          <w:szCs w:val="22"/>
        </w:rPr>
        <w:t xml:space="preserve"> May 2026</w:t>
      </w:r>
    </w:p>
    <w:p w14:paraId="312DDB01" w14:textId="25848B58" w:rsidR="00492FD1" w:rsidRPr="00E91C18" w:rsidRDefault="00E91C18">
      <w:pPr>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59264" behindDoc="0" locked="0" layoutInCell="1" allowOverlap="1" wp14:anchorId="68E28309" wp14:editId="0CCFF32A">
                <wp:simplePos x="0" y="0"/>
                <wp:positionH relativeFrom="margin">
                  <wp:align>center</wp:align>
                </wp:positionH>
                <wp:positionV relativeFrom="paragraph">
                  <wp:posOffset>361315</wp:posOffset>
                </wp:positionV>
                <wp:extent cx="3181350" cy="3095625"/>
                <wp:effectExtent l="0" t="0" r="0" b="9525"/>
                <wp:wrapNone/>
                <wp:docPr id="69149202" name="Text Box 1"/>
                <wp:cNvGraphicFramePr/>
                <a:graphic xmlns:a="http://schemas.openxmlformats.org/drawingml/2006/main">
                  <a:graphicData uri="http://schemas.microsoft.com/office/word/2010/wordprocessingShape">
                    <wps:wsp>
                      <wps:cNvSpPr txBox="1"/>
                      <wps:spPr>
                        <a:xfrm>
                          <a:off x="0" y="0"/>
                          <a:ext cx="3181350" cy="3095625"/>
                        </a:xfrm>
                        <a:prstGeom prst="rect">
                          <a:avLst/>
                        </a:prstGeom>
                        <a:solidFill>
                          <a:schemeClr val="lt1"/>
                        </a:solidFill>
                        <a:ln w="6350">
                          <a:noFill/>
                        </a:ln>
                      </wps:spPr>
                      <wps:txbx>
                        <w:txbxContent>
                          <w:p w14:paraId="51508148" w14:textId="54F75840" w:rsidR="00E91C18" w:rsidRDefault="00E91C18">
                            <w:r w:rsidRPr="004320C1">
                              <w:rPr>
                                <w:rFonts w:asciiTheme="minorHAnsi" w:eastAsia="Calibri" w:hAnsiTheme="minorHAnsi" w:cstheme="minorHAnsi"/>
                                <w:noProof/>
                                <w:sz w:val="22"/>
                                <w:szCs w:val="22"/>
                              </w:rPr>
                              <w:drawing>
                                <wp:inline distT="0" distB="0" distL="0" distR="0" wp14:anchorId="30016904" wp14:editId="038A0008">
                                  <wp:extent cx="2962275" cy="2962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28309" id="Text Box 1" o:spid="_x0000_s1027" type="#_x0000_t202" style="position:absolute;margin-left:0;margin-top:28.45pt;width:250.5pt;height:24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" fillcolor="white [3201]" stroked="f" strokeweight=".5pt">
                <v:textbox>
                  <w:txbxContent>
                    <w:p w14:paraId="51508148" w14:textId="54F75840" w:rsidR="00E91C18" w:rsidRDefault="00E91C18">
                      <w:r w:rsidRPr="004320C1">
                        <w:rPr>
                          <w:rFonts w:asciiTheme="minorHAnsi" w:eastAsia="Calibri" w:hAnsiTheme="minorHAnsi" w:cstheme="minorHAnsi"/>
                          <w:noProof/>
                          <w:sz w:val="22"/>
                          <w:szCs w:val="22"/>
                        </w:rPr>
                        <w:drawing>
                          <wp:inline distT="0" distB="0" distL="0" distR="0" wp14:anchorId="30016904" wp14:editId="038A0008">
                            <wp:extent cx="2962275" cy="2962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pic:spPr>
                                </pic:pic>
                              </a:graphicData>
                            </a:graphic>
                          </wp:inline>
                        </w:drawing>
                      </w:r>
                    </w:p>
                  </w:txbxContent>
                </v:textbox>
                <w10:wrap anchorx="margin"/>
              </v:shape>
            </w:pict>
          </mc:Fallback>
        </mc:AlternateContent>
      </w:r>
    </w:p>
    <w:sectPr w:rsidR="00492FD1" w:rsidRPr="00E91C18" w:rsidSect="00E91C1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3F6"/>
    <w:multiLevelType w:val="hybridMultilevel"/>
    <w:tmpl w:val="EC6C8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FCDD7"/>
    <w:multiLevelType w:val="hybridMultilevel"/>
    <w:tmpl w:val="200CE136"/>
    <w:lvl w:ilvl="0" w:tplc="992CA370">
      <w:start w:val="1"/>
      <w:numFmt w:val="bullet"/>
      <w:lvlText w:val=""/>
      <w:lvlJc w:val="left"/>
      <w:pPr>
        <w:ind w:left="720" w:hanging="360"/>
      </w:pPr>
      <w:rPr>
        <w:rFonts w:ascii="Symbol" w:hAnsi="Symbol" w:hint="default"/>
      </w:rPr>
    </w:lvl>
    <w:lvl w:ilvl="1" w:tplc="8B78F6A6">
      <w:start w:val="1"/>
      <w:numFmt w:val="bullet"/>
      <w:lvlText w:val="o"/>
      <w:lvlJc w:val="left"/>
      <w:pPr>
        <w:ind w:left="1440" w:hanging="360"/>
      </w:pPr>
      <w:rPr>
        <w:rFonts w:ascii="Courier New" w:hAnsi="Courier New" w:hint="default"/>
      </w:rPr>
    </w:lvl>
    <w:lvl w:ilvl="2" w:tplc="07F8234C">
      <w:start w:val="1"/>
      <w:numFmt w:val="bullet"/>
      <w:lvlText w:val=""/>
      <w:lvlJc w:val="left"/>
      <w:pPr>
        <w:ind w:left="2160" w:hanging="360"/>
      </w:pPr>
      <w:rPr>
        <w:rFonts w:ascii="Wingdings" w:hAnsi="Wingdings" w:hint="default"/>
      </w:rPr>
    </w:lvl>
    <w:lvl w:ilvl="3" w:tplc="6D9ED020">
      <w:start w:val="1"/>
      <w:numFmt w:val="bullet"/>
      <w:lvlText w:val=""/>
      <w:lvlJc w:val="left"/>
      <w:pPr>
        <w:ind w:left="2880" w:hanging="360"/>
      </w:pPr>
      <w:rPr>
        <w:rFonts w:ascii="Symbol" w:hAnsi="Symbol" w:hint="default"/>
      </w:rPr>
    </w:lvl>
    <w:lvl w:ilvl="4" w:tplc="12246BC6">
      <w:start w:val="1"/>
      <w:numFmt w:val="bullet"/>
      <w:lvlText w:val="o"/>
      <w:lvlJc w:val="left"/>
      <w:pPr>
        <w:ind w:left="3600" w:hanging="360"/>
      </w:pPr>
      <w:rPr>
        <w:rFonts w:ascii="Courier New" w:hAnsi="Courier New" w:hint="default"/>
      </w:rPr>
    </w:lvl>
    <w:lvl w:ilvl="5" w:tplc="F7DC4BA8">
      <w:start w:val="1"/>
      <w:numFmt w:val="bullet"/>
      <w:lvlText w:val=""/>
      <w:lvlJc w:val="left"/>
      <w:pPr>
        <w:ind w:left="4320" w:hanging="360"/>
      </w:pPr>
      <w:rPr>
        <w:rFonts w:ascii="Wingdings" w:hAnsi="Wingdings" w:hint="default"/>
      </w:rPr>
    </w:lvl>
    <w:lvl w:ilvl="6" w:tplc="ED9CFA84">
      <w:start w:val="1"/>
      <w:numFmt w:val="bullet"/>
      <w:lvlText w:val=""/>
      <w:lvlJc w:val="left"/>
      <w:pPr>
        <w:ind w:left="5040" w:hanging="360"/>
      </w:pPr>
      <w:rPr>
        <w:rFonts w:ascii="Symbol" w:hAnsi="Symbol" w:hint="default"/>
      </w:rPr>
    </w:lvl>
    <w:lvl w:ilvl="7" w:tplc="36E8C4A4">
      <w:start w:val="1"/>
      <w:numFmt w:val="bullet"/>
      <w:lvlText w:val="o"/>
      <w:lvlJc w:val="left"/>
      <w:pPr>
        <w:ind w:left="5760" w:hanging="360"/>
      </w:pPr>
      <w:rPr>
        <w:rFonts w:ascii="Courier New" w:hAnsi="Courier New" w:hint="default"/>
      </w:rPr>
    </w:lvl>
    <w:lvl w:ilvl="8" w:tplc="41E43C72">
      <w:start w:val="1"/>
      <w:numFmt w:val="bullet"/>
      <w:lvlText w:val=""/>
      <w:lvlJc w:val="left"/>
      <w:pPr>
        <w:ind w:left="6480" w:hanging="360"/>
      </w:pPr>
      <w:rPr>
        <w:rFonts w:ascii="Wingdings" w:hAnsi="Wingdings" w:hint="default"/>
      </w:rPr>
    </w:lvl>
  </w:abstractNum>
  <w:abstractNum w:abstractNumId="2" w15:restartNumberingAfterBreak="0">
    <w:nsid w:val="601F5EB1"/>
    <w:multiLevelType w:val="multilevel"/>
    <w:tmpl w:val="F36E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22921"/>
    <w:multiLevelType w:val="multilevel"/>
    <w:tmpl w:val="FE2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115420">
    <w:abstractNumId w:val="1"/>
  </w:num>
  <w:num w:numId="2" w16cid:durableId="660817816">
    <w:abstractNumId w:val="2"/>
  </w:num>
  <w:num w:numId="3" w16cid:durableId="782966367">
    <w:abstractNumId w:val="3"/>
  </w:num>
  <w:num w:numId="4" w16cid:durableId="154043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18"/>
    <w:rsid w:val="00031B58"/>
    <w:rsid w:val="00263372"/>
    <w:rsid w:val="00492FD1"/>
    <w:rsid w:val="00666643"/>
    <w:rsid w:val="009074A1"/>
    <w:rsid w:val="00C54D82"/>
    <w:rsid w:val="00E91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25FD"/>
  <w15:chartTrackingRefBased/>
  <w15:docId w15:val="{4D7A4A69-3717-4EFC-9510-12723FC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1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C18"/>
    <w:rPr>
      <w:rFonts w:eastAsiaTheme="majorEastAsia" w:cstheme="majorBidi"/>
      <w:color w:val="272727" w:themeColor="text1" w:themeTint="D8"/>
    </w:rPr>
  </w:style>
  <w:style w:type="paragraph" w:styleId="Title">
    <w:name w:val="Title"/>
    <w:basedOn w:val="Normal"/>
    <w:next w:val="Normal"/>
    <w:link w:val="TitleChar"/>
    <w:uiPriority w:val="10"/>
    <w:qFormat/>
    <w:rsid w:val="00E91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C18"/>
    <w:pPr>
      <w:spacing w:before="160"/>
      <w:jc w:val="center"/>
    </w:pPr>
    <w:rPr>
      <w:i/>
      <w:iCs/>
      <w:color w:val="404040" w:themeColor="text1" w:themeTint="BF"/>
    </w:rPr>
  </w:style>
  <w:style w:type="character" w:customStyle="1" w:styleId="QuoteChar">
    <w:name w:val="Quote Char"/>
    <w:basedOn w:val="DefaultParagraphFont"/>
    <w:link w:val="Quote"/>
    <w:uiPriority w:val="29"/>
    <w:rsid w:val="00E91C18"/>
    <w:rPr>
      <w:i/>
      <w:iCs/>
      <w:color w:val="404040" w:themeColor="text1" w:themeTint="BF"/>
    </w:rPr>
  </w:style>
  <w:style w:type="paragraph" w:styleId="ListParagraph">
    <w:name w:val="List Paragraph"/>
    <w:basedOn w:val="Normal"/>
    <w:uiPriority w:val="34"/>
    <w:qFormat/>
    <w:rsid w:val="00E91C18"/>
    <w:pPr>
      <w:ind w:left="720"/>
      <w:contextualSpacing/>
    </w:pPr>
  </w:style>
  <w:style w:type="character" w:styleId="IntenseEmphasis">
    <w:name w:val="Intense Emphasis"/>
    <w:basedOn w:val="DefaultParagraphFont"/>
    <w:uiPriority w:val="21"/>
    <w:qFormat/>
    <w:rsid w:val="00E91C18"/>
    <w:rPr>
      <w:i/>
      <w:iCs/>
      <w:color w:val="0F4761" w:themeColor="accent1" w:themeShade="BF"/>
    </w:rPr>
  </w:style>
  <w:style w:type="paragraph" w:styleId="IntenseQuote">
    <w:name w:val="Intense Quote"/>
    <w:basedOn w:val="Normal"/>
    <w:next w:val="Normal"/>
    <w:link w:val="IntenseQuoteChar"/>
    <w:uiPriority w:val="30"/>
    <w:qFormat/>
    <w:rsid w:val="00E91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C18"/>
    <w:rPr>
      <w:i/>
      <w:iCs/>
      <w:color w:val="0F4761" w:themeColor="accent1" w:themeShade="BF"/>
    </w:rPr>
  </w:style>
  <w:style w:type="character" w:styleId="IntenseReference">
    <w:name w:val="Intense Reference"/>
    <w:basedOn w:val="DefaultParagraphFont"/>
    <w:uiPriority w:val="32"/>
    <w:qFormat/>
    <w:rsid w:val="00E91C18"/>
    <w:rPr>
      <w:b/>
      <w:bCs/>
      <w:smallCaps/>
      <w:color w:val="0F4761" w:themeColor="accent1" w:themeShade="BF"/>
      <w:spacing w:val="5"/>
    </w:rPr>
  </w:style>
  <w:style w:type="character" w:styleId="Hyperlink">
    <w:name w:val="Hyperlink"/>
    <w:basedOn w:val="DefaultParagraphFont"/>
    <w:uiPriority w:val="99"/>
    <w:unhideWhenUsed/>
    <w:rsid w:val="00E91C18"/>
    <w:rPr>
      <w:color w:val="467886" w:themeColor="hyperlink"/>
      <w:u w:val="single"/>
    </w:rPr>
  </w:style>
  <w:style w:type="character" w:styleId="FollowedHyperlink">
    <w:name w:val="FollowedHyperlink"/>
    <w:basedOn w:val="DefaultParagraphFont"/>
    <w:uiPriority w:val="99"/>
    <w:semiHidden/>
    <w:unhideWhenUsed/>
    <w:rsid w:val="00E91C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olicies/schools/digital-learning-and-teachin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gov.scot/publications/mobile-phone-guidance-scotlands-schools/" TargetMode="External"/><Relationship Id="rId12" Type="http://schemas.openxmlformats.org/officeDocument/2006/relationships/hyperlink" Target="https://www.dundeecity.gov.uk/sites/default/files/publications/Anti%20Bullying%20leaflet_Oct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B84D.CFF9A7F0" TargetMode="External"/><Relationship Id="rId11" Type="http://schemas.openxmlformats.org/officeDocument/2006/relationships/hyperlink" Target="https://www.dundeecity.gov.uk/sites/default/files/publications/2019_anti-bullying_guidance_dcc_complete.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unicef.org.uk/what-we-do/un-convention-child-rights/" TargetMode="External"/><Relationship Id="rId4" Type="http://schemas.openxmlformats.org/officeDocument/2006/relationships/webSettings" Target="webSettings.xml"/><Relationship Id="rId9" Type="http://schemas.openxmlformats.org/officeDocument/2006/relationships/hyperlink" Target="https://www.gov.scot/publications/mobile-phone-guidance-scotlands-schoo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991</Words>
  <Characters>5652</Characters>
  <Application>Microsoft Office Word</Application>
  <DocSecurity>0</DocSecurity>
  <Lines>47</Lines>
  <Paragraphs>13</Paragraphs>
  <ScaleCrop>false</ScaleCrop>
  <Company>Dundee City Council</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Mcbain</dc:creator>
  <cp:keywords/>
  <dc:description/>
  <cp:lastModifiedBy>Gregor Mcbain</cp:lastModifiedBy>
  <cp:revision>1</cp:revision>
  <dcterms:created xsi:type="dcterms:W3CDTF">2026-03-20T10:04:00Z</dcterms:created>
  <dcterms:modified xsi:type="dcterms:W3CDTF">2026-03-20T10:08:00Z</dcterms:modified>
</cp:coreProperties>
</file>